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13" w:rsidRDefault="004F0EE0">
      <w:pPr>
        <w:ind w:left="-709" w:right="-602"/>
        <w:jc w:val="center"/>
        <w:rPr>
          <w:b/>
          <w:bCs/>
          <w:i/>
          <w:iCs/>
          <w:color w:val="800080"/>
          <w:sz w:val="28"/>
          <w:szCs w:val="28"/>
          <w:lang w:val="en-US"/>
        </w:rPr>
      </w:pPr>
      <w:r w:rsidRPr="00B2704B">
        <w:rPr>
          <w:rFonts w:asciiTheme="minorHAnsi" w:hAnsiTheme="minorHAnsi"/>
          <w:noProof/>
          <w:sz w:val="2"/>
          <w:szCs w:val="24"/>
          <w:lang w:eastAsia="en-GB"/>
        </w:rPr>
        <w:drawing>
          <wp:anchor distT="0" distB="0" distL="114300" distR="114300" simplePos="0" relativeHeight="251668480" behindDoc="0" locked="0" layoutInCell="1" allowOverlap="1" wp14:anchorId="4840D40E" wp14:editId="7A13EA55">
            <wp:simplePos x="0" y="0"/>
            <wp:positionH relativeFrom="column">
              <wp:posOffset>5416523</wp:posOffset>
            </wp:positionH>
            <wp:positionV relativeFrom="paragraph">
              <wp:posOffset>87464</wp:posOffset>
            </wp:positionV>
            <wp:extent cx="1238250" cy="610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1810" t="20480" r="43150" b="64000"/>
                    <a:stretch>
                      <a:fillRect/>
                    </a:stretch>
                  </pic:blipFill>
                  <pic:spPr bwMode="auto">
                    <a:xfrm>
                      <a:off x="0" y="0"/>
                      <a:ext cx="12382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8F1">
        <w:rPr>
          <w:noProof/>
          <w:sz w:val="18"/>
          <w:szCs w:val="18"/>
          <w:lang w:eastAsia="en-GB"/>
        </w:rPr>
        <w:drawing>
          <wp:anchor distT="0" distB="0" distL="114300" distR="114300" simplePos="0" relativeHeight="251662336" behindDoc="0" locked="0" layoutInCell="1" allowOverlap="1">
            <wp:simplePos x="0" y="0"/>
            <wp:positionH relativeFrom="column">
              <wp:posOffset>-129540</wp:posOffset>
            </wp:positionH>
            <wp:positionV relativeFrom="paragraph">
              <wp:posOffset>24130</wp:posOffset>
            </wp:positionV>
            <wp:extent cx="1241425" cy="1079500"/>
            <wp:effectExtent l="0" t="0" r="0" b="6350"/>
            <wp:wrapSquare wrapText="bothSides"/>
            <wp:docPr id="5"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Text&#10;&#10;Description automatically generated"/>
                    <pic:cNvPicPr>
                      <a:picLocks noChangeAspect="1"/>
                    </pic:cNvPicPr>
                  </pic:nvPicPr>
                  <pic:blipFill>
                    <a:blip r:embed="rId8"/>
                    <a:stretch/>
                  </pic:blipFill>
                  <pic:spPr bwMode="auto">
                    <a:xfrm>
                      <a:off x="0" y="0"/>
                      <a:ext cx="1241425" cy="1079500"/>
                    </a:xfrm>
                    <a:prstGeom prst="rect">
                      <a:avLst/>
                    </a:prstGeom>
                  </pic:spPr>
                </pic:pic>
              </a:graphicData>
            </a:graphic>
            <wp14:sizeRelH relativeFrom="margin">
              <wp14:pctWidth>0</wp14:pctWidth>
            </wp14:sizeRelH>
            <wp14:sizeRelV relativeFrom="margin">
              <wp14:pctHeight>0</wp14:pctHeight>
            </wp14:sizeRelV>
          </wp:anchor>
        </w:drawing>
      </w:r>
      <w:r w:rsidR="00E578F1">
        <w:rPr>
          <w:noProof/>
          <w:lang w:eastAsia="en-GB"/>
        </w:rPr>
        <w:drawing>
          <wp:anchor distT="0" distB="0" distL="114300" distR="114300" simplePos="0" relativeHeight="251663360" behindDoc="0" locked="0" layoutInCell="1" allowOverlap="1">
            <wp:simplePos x="0" y="0"/>
            <wp:positionH relativeFrom="column">
              <wp:posOffset>2233295</wp:posOffset>
            </wp:positionH>
            <wp:positionV relativeFrom="paragraph">
              <wp:posOffset>0</wp:posOffset>
            </wp:positionV>
            <wp:extent cx="2029460" cy="2051685"/>
            <wp:effectExtent l="0" t="0" r="8890" b="5715"/>
            <wp:wrapSquare wrapText="bothSides"/>
            <wp:docPr id="6" name="Picture 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7" descr="A picture containing text, clipart&#10;&#10;Description automatically generated"/>
                    <pic:cNvPicPr>
                      <a:picLocks noChangeAspect="1"/>
                    </pic:cNvPicPr>
                  </pic:nvPicPr>
                  <pic:blipFill>
                    <a:blip r:embed="rId9"/>
                    <a:stretch/>
                  </pic:blipFill>
                  <pic:spPr bwMode="auto">
                    <a:xfrm>
                      <a:off x="0" y="0"/>
                      <a:ext cx="202946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80265655"/>
      <w:bookmarkEnd w:id="0"/>
      <w:r w:rsidR="00E578F1">
        <w:rPr>
          <w:b/>
          <w:bCs/>
          <w:i/>
          <w:iCs/>
          <w:color w:val="800080"/>
          <w:sz w:val="28"/>
          <w:szCs w:val="28"/>
          <w:lang w:val="en-US"/>
        </w:rPr>
        <w:t xml:space="preserve"> </w:t>
      </w:r>
    </w:p>
    <w:p w:rsidR="00544913" w:rsidRDefault="00544913">
      <w:pPr>
        <w:ind w:left="-993" w:right="-744" w:firstLine="284"/>
        <w:jc w:val="center"/>
        <w:rPr>
          <w:b/>
          <w:bCs/>
          <w:i/>
          <w:iCs/>
          <w:color w:val="800080"/>
          <w:sz w:val="32"/>
          <w:szCs w:val="32"/>
          <w:lang w:val="en-US"/>
        </w:rPr>
      </w:pPr>
    </w:p>
    <w:p w:rsidR="00544913" w:rsidRDefault="00544913">
      <w:pPr>
        <w:ind w:left="-993" w:right="-744" w:firstLine="284"/>
        <w:jc w:val="center"/>
        <w:rPr>
          <w:b/>
          <w:bCs/>
          <w:i/>
          <w:iCs/>
          <w:color w:val="800080"/>
          <w:sz w:val="32"/>
          <w:szCs w:val="32"/>
          <w:lang w:val="en-US"/>
        </w:rPr>
      </w:pPr>
    </w:p>
    <w:p w:rsidR="00544913" w:rsidRDefault="00544913">
      <w:pPr>
        <w:ind w:left="-993" w:right="-744" w:firstLine="284"/>
        <w:jc w:val="center"/>
        <w:rPr>
          <w:b/>
          <w:bCs/>
          <w:i/>
          <w:iCs/>
          <w:color w:val="800080"/>
          <w:sz w:val="32"/>
          <w:szCs w:val="32"/>
          <w:lang w:val="en-US"/>
        </w:rPr>
      </w:pPr>
    </w:p>
    <w:p w:rsidR="00544913" w:rsidRDefault="00544913">
      <w:pPr>
        <w:ind w:left="-993" w:right="-744" w:firstLine="284"/>
        <w:jc w:val="center"/>
        <w:rPr>
          <w:b/>
          <w:bCs/>
          <w:i/>
          <w:iCs/>
          <w:color w:val="800080"/>
          <w:sz w:val="32"/>
          <w:szCs w:val="32"/>
          <w:lang w:val="en-US"/>
        </w:rPr>
      </w:pPr>
    </w:p>
    <w:p w:rsidR="00544913" w:rsidRDefault="00544913">
      <w:pPr>
        <w:ind w:left="-993" w:right="-744" w:firstLine="284"/>
        <w:jc w:val="center"/>
        <w:rPr>
          <w:b/>
          <w:bCs/>
          <w:i/>
          <w:iCs/>
          <w:color w:val="800080"/>
          <w:sz w:val="32"/>
          <w:szCs w:val="32"/>
          <w:lang w:val="en-US"/>
        </w:rPr>
      </w:pPr>
    </w:p>
    <w:p w:rsidR="00544913" w:rsidRDefault="00E578F1">
      <w:pPr>
        <w:ind w:left="-284" w:right="-166"/>
        <w:jc w:val="center"/>
        <w:rPr>
          <w:b/>
          <w:bCs/>
          <w:i/>
          <w:iCs/>
          <w:color w:val="800080"/>
          <w:sz w:val="28"/>
          <w:szCs w:val="28"/>
          <w:lang w:val="en-US"/>
        </w:rPr>
      </w:pPr>
      <w:r>
        <w:rPr>
          <w:b/>
          <w:bCs/>
          <w:i/>
          <w:iCs/>
          <w:color w:val="800080"/>
          <w:sz w:val="32"/>
          <w:szCs w:val="32"/>
          <w:lang w:val="en-US"/>
        </w:rPr>
        <w:t>Calcium supplementation for women at high-risk of pre-eclampsia (</w:t>
      </w:r>
      <w:proofErr w:type="spellStart"/>
      <w:r>
        <w:rPr>
          <w:b/>
          <w:bCs/>
          <w:i/>
          <w:iCs/>
          <w:color w:val="800080"/>
          <w:sz w:val="32"/>
          <w:szCs w:val="32"/>
          <w:lang w:val="en-US"/>
        </w:rPr>
        <w:t>CaPE</w:t>
      </w:r>
      <w:proofErr w:type="spellEnd"/>
      <w:r>
        <w:rPr>
          <w:b/>
          <w:bCs/>
          <w:i/>
          <w:iCs/>
          <w:color w:val="800080"/>
          <w:sz w:val="32"/>
          <w:szCs w:val="32"/>
          <w:lang w:val="en-US"/>
        </w:rPr>
        <w:t xml:space="preserve"> Trial</w:t>
      </w:r>
      <w:r>
        <w:rPr>
          <w:b/>
          <w:bCs/>
          <w:i/>
          <w:iCs/>
          <w:color w:val="800080"/>
          <w:sz w:val="28"/>
          <w:szCs w:val="28"/>
          <w:lang w:val="en-US"/>
        </w:rPr>
        <w:t>)</w:t>
      </w:r>
    </w:p>
    <w:p w:rsidR="00544913" w:rsidRDefault="00544913">
      <w:pPr>
        <w:ind w:left="-284" w:right="-166"/>
        <w:jc w:val="center"/>
        <w:rPr>
          <w:b/>
          <w:bCs/>
          <w:i/>
          <w:iCs/>
          <w:color w:val="800080"/>
          <w:sz w:val="2"/>
          <w:szCs w:val="2"/>
          <w:lang w:val="en-US"/>
        </w:rPr>
      </w:pPr>
    </w:p>
    <w:p w:rsidR="00544913" w:rsidRDefault="00E578F1">
      <w:pPr>
        <w:rPr>
          <w:sz w:val="16"/>
          <w:szCs w:val="16"/>
        </w:rPr>
      </w:pPr>
      <w:r>
        <w:rPr>
          <w:noProof/>
          <w:lang w:eastAsia="en-GB"/>
        </w:rPr>
        <mc:AlternateContent>
          <mc:Choice Requires="wps">
            <w:drawing>
              <wp:inline distT="0" distB="0" distL="0" distR="0">
                <wp:extent cx="6613200" cy="427791"/>
                <wp:effectExtent l="0" t="0" r="16510" b="107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3200" cy="427791"/>
                        </a:xfrm>
                        <a:prstGeom prst="rect">
                          <a:avLst/>
                        </a:prstGeom>
                        <a:solidFill>
                          <a:srgbClr val="800081"/>
                        </a:solidFill>
                        <a:ln w="6350">
                          <a:solidFill>
                            <a:prstClr val="black"/>
                          </a:solidFill>
                        </a:ln>
                      </wps:spPr>
                      <wps:txbx>
                        <w:txbxContent>
                          <w:p w:rsidR="00544913" w:rsidRDefault="00E578F1">
                            <w:pPr>
                              <w:pStyle w:val="Heading3"/>
                              <w:jc w:val="center"/>
                              <w:rPr>
                                <w:rFonts w:ascii="Calibri" w:hAnsi="Calibri" w:cs="Calibri"/>
                                <w:b/>
                                <w:bCs/>
                                <w:sz w:val="44"/>
                                <w:szCs w:val="44"/>
                              </w:rPr>
                            </w:pPr>
                            <w:r>
                              <w:rPr>
                                <w:rFonts w:ascii="Calibri" w:hAnsi="Calibri" w:cs="Calibri"/>
                                <w:b/>
                                <w:bCs/>
                                <w:sz w:val="44"/>
                                <w:szCs w:val="20"/>
                              </w:rPr>
                              <w:t>ARE YOU AT RISK OF DEVELOPING PRE-ECLAMPSIA?</w:t>
                            </w:r>
                          </w:p>
                          <w:p w:rsidR="00544913" w:rsidRDefault="005449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Text Box 2" o:spid="_x0000_s1027" style="width:520.7pt;height:3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" fillcolor="#800081" strokeweight=".5pt">
                <v:path arrowok="t"/>
                <v:textbox>
                  <w:txbxContent>
                    <w:p w:rsidR="00544913" w:rsidRDefault="00E578F1">
                      <w:pPr>
                        <w:pStyle w:val="Heading3"/>
                        <w:jc w:val="center"/>
                        <w:rPr>
                          <w:rFonts w:ascii="Calibri" w:hAnsi="Calibri" w:cs="Calibri"/>
                          <w:b/>
                          <w:bCs/>
                          <w:sz w:val="44"/>
                          <w:szCs w:val="44"/>
                        </w:rPr>
                      </w:pPr>
                      <w:r>
                        <w:rPr>
                          <w:rFonts w:ascii="Calibri" w:hAnsi="Calibri" w:cs="Calibri"/>
                          <w:b/>
                          <w:bCs/>
                          <w:sz w:val="44"/>
                          <w:szCs w:val="20"/>
                        </w:rPr>
                        <w:t>ARE YOU AT RISK OF DEVELOPING PRE-ECLAMPSIA?</w:t>
                      </w:r>
                    </w:p>
                    <w:p w:rsidR="00544913" w:rsidRDefault="00544913">
                      <w:pPr>
                        <w:jc w:val="center"/>
                      </w:pPr>
                    </w:p>
                  </w:txbxContent>
                </v:textbox>
                <w10:anchorlock/>
              </v:rect>
            </w:pict>
          </mc:Fallback>
        </mc:AlternateContent>
      </w:r>
    </w:p>
    <w:p w:rsidR="00544913" w:rsidRDefault="00E578F1">
      <w:pPr>
        <w:ind w:left="142" w:right="-166"/>
        <w:rPr>
          <w:lang w:val="en"/>
        </w:rPr>
      </w:pPr>
      <w:r>
        <w:rPr>
          <w:noProof/>
          <w:lang w:eastAsia="en-GB"/>
        </w:rPr>
        <mc:AlternateContent>
          <mc:Choice Requires="wps">
            <w:drawing>
              <wp:inline distT="0" distB="0" distL="0" distR="0">
                <wp:extent cx="6515833" cy="3476446"/>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833" cy="3476446"/>
                        </a:xfrm>
                        <a:prstGeom prst="rect">
                          <a:avLst/>
                        </a:prstGeom>
                        <a:solidFill>
                          <a:schemeClr val="bg1"/>
                        </a:solidFill>
                        <a:ln w="9525">
                          <a:noFill/>
                          <a:miter lim="800000"/>
                          <a:headEnd/>
                          <a:tailEnd/>
                        </a:ln>
                      </wps:spPr>
                      <wps:txbx>
                        <w:txbxContent>
                          <w:p w:rsidR="00544913" w:rsidRPr="00470E79" w:rsidRDefault="00E578F1">
                            <w:pPr>
                              <w:pStyle w:val="ListParagraph"/>
                              <w:spacing w:before="120" w:after="480" w:line="259" w:lineRule="auto"/>
                              <w:ind w:left="0"/>
                              <w:contextualSpacing w:val="0"/>
                              <w:jc w:val="both"/>
                              <w:rPr>
                                <w:b/>
                                <w:bCs/>
                                <w:sz w:val="30"/>
                                <w:szCs w:val="30"/>
                              </w:rPr>
                            </w:pPr>
                            <w:r w:rsidRPr="00470E79">
                              <w:rPr>
                                <w:b/>
                                <w:bCs/>
                                <w:color w:val="800081"/>
                                <w:sz w:val="30"/>
                                <w:szCs w:val="30"/>
                              </w:rPr>
                              <w:t xml:space="preserve">Pre-eclampsia </w:t>
                            </w:r>
                            <w:r w:rsidRPr="00470E79">
                              <w:rPr>
                                <w:b/>
                                <w:bCs/>
                                <w:sz w:val="30"/>
                                <w:szCs w:val="30"/>
                              </w:rPr>
                              <w:t xml:space="preserve">affects 1 in 30 pregnant women in the UK. </w:t>
                            </w:r>
                            <w:r w:rsidR="00184646" w:rsidRPr="00470E79">
                              <w:rPr>
                                <w:b/>
                                <w:bCs/>
                                <w:sz w:val="30"/>
                                <w:szCs w:val="30"/>
                              </w:rPr>
                              <w:t xml:space="preserve">It </w:t>
                            </w:r>
                            <w:r w:rsidR="00184646" w:rsidRPr="00470E79">
                              <w:rPr>
                                <w:rFonts w:cs="Arial"/>
                                <w:b/>
                                <w:sz w:val="30"/>
                                <w:szCs w:val="30"/>
                                <w:lang w:val="en" w:eastAsia="en-GB"/>
                              </w:rPr>
                              <w:t>usually presents with high blood pressure and protein in the urine but may affect other organs in the body, and the baby.</w:t>
                            </w:r>
                          </w:p>
                          <w:p w:rsidR="00544913" w:rsidRPr="00470E79" w:rsidRDefault="00E578F1">
                            <w:pPr>
                              <w:pStyle w:val="ListParagraph"/>
                              <w:spacing w:before="120" w:after="480" w:line="259" w:lineRule="auto"/>
                              <w:ind w:left="0"/>
                              <w:contextualSpacing w:val="0"/>
                              <w:jc w:val="both"/>
                              <w:rPr>
                                <w:sz w:val="30"/>
                                <w:szCs w:val="30"/>
                              </w:rPr>
                            </w:pPr>
                            <w:r w:rsidRPr="00470E79">
                              <w:rPr>
                                <w:b/>
                                <w:bCs/>
                                <w:sz w:val="30"/>
                                <w:szCs w:val="30"/>
                              </w:rPr>
                              <w:t>Your care team will be able to tell you if you are at risk of developing pre-eclampsia.</w:t>
                            </w:r>
                            <w:r w:rsidRPr="00470E79">
                              <w:rPr>
                                <w:sz w:val="30"/>
                                <w:szCs w:val="30"/>
                              </w:rPr>
                              <w:t xml:space="preserve"> </w:t>
                            </w:r>
                          </w:p>
                          <w:p w:rsidR="00544913" w:rsidRPr="00470E79" w:rsidRDefault="00E578F1">
                            <w:pPr>
                              <w:pStyle w:val="ListParagraph"/>
                              <w:spacing w:before="120" w:after="480" w:line="259" w:lineRule="auto"/>
                              <w:ind w:left="0"/>
                              <w:contextualSpacing w:val="0"/>
                              <w:jc w:val="both"/>
                              <w:rPr>
                                <w:sz w:val="30"/>
                                <w:szCs w:val="30"/>
                              </w:rPr>
                            </w:pPr>
                            <w:proofErr w:type="spellStart"/>
                            <w:r w:rsidRPr="00470E79">
                              <w:rPr>
                                <w:b/>
                                <w:bCs/>
                                <w:color w:val="800081"/>
                                <w:sz w:val="30"/>
                                <w:szCs w:val="30"/>
                              </w:rPr>
                              <w:t>CaPE</w:t>
                            </w:r>
                            <w:proofErr w:type="spellEnd"/>
                            <w:r w:rsidRPr="00470E79">
                              <w:rPr>
                                <w:b/>
                                <w:bCs/>
                                <w:sz w:val="30"/>
                                <w:szCs w:val="30"/>
                              </w:rPr>
                              <w:t xml:space="preserve"> is a research study looking to find out if calcium supplements taken during pregnancy reduce the chances of developing pre-eclampsia.</w:t>
                            </w:r>
                            <w:r w:rsidRPr="00470E79">
                              <w:rPr>
                                <w:sz w:val="30"/>
                                <w:szCs w:val="30"/>
                              </w:rPr>
                              <w:t xml:space="preserve"> </w:t>
                            </w:r>
                          </w:p>
                          <w:p w:rsidR="00544913" w:rsidRPr="00470E79" w:rsidRDefault="00E578F1">
                            <w:pPr>
                              <w:pStyle w:val="ListParagraph"/>
                              <w:spacing w:before="120" w:after="120" w:line="259" w:lineRule="auto"/>
                              <w:ind w:left="0"/>
                              <w:contextualSpacing w:val="0"/>
                              <w:jc w:val="both"/>
                              <w:rPr>
                                <w:rFonts w:ascii="Calibri" w:hAnsi="Calibri" w:cs="Calibri"/>
                                <w:b/>
                                <w:bCs/>
                                <w:sz w:val="30"/>
                                <w:szCs w:val="30"/>
                                <w:lang w:val="en" w:eastAsia="en-GB"/>
                              </w:rPr>
                            </w:pPr>
                            <w:r w:rsidRPr="00470E79">
                              <w:rPr>
                                <w:b/>
                                <w:bCs/>
                                <w:sz w:val="30"/>
                                <w:szCs w:val="30"/>
                              </w:rPr>
                              <w:t xml:space="preserve">We want to recruit 7756 pregnant women at risk of pre-eclampsia from across the UK – could you be one of them? </w:t>
                            </w:r>
                          </w:p>
                          <w:p w:rsidR="00544913" w:rsidRDefault="00544913">
                            <w:pPr>
                              <w:jc w:val="both"/>
                              <w:rPr>
                                <w:sz w:val="32"/>
                                <w:szCs w:val="32"/>
                                <w:lang w:val="en"/>
                              </w:rPr>
                            </w:pPr>
                          </w:p>
                        </w:txbxContent>
                      </wps:txbx>
                      <wps:bodyPr rot="0" vert="horz" wrap="square" lIns="91440" tIns="45720" rIns="91440" bIns="45720" anchor="t" anchorCtr="0">
                        <a:noAutofit/>
                      </wps:bodyPr>
                    </wps:wsp>
                  </a:graphicData>
                </a:graphic>
              </wp:inline>
            </w:drawing>
          </mc:Choice>
          <mc:Fallback>
            <w:pict>
              <v:rect id="_x0000_s1027" style="width:513.0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" fillcolor="white [3212]" stroked="f">
                <v:path arrowok="t"/>
                <v:textbox>
                  <w:txbxContent>
                    <w:p w:rsidR="00544913" w:rsidRPr="00470E79" w:rsidRDefault="00E578F1">
                      <w:pPr>
                        <w:pStyle w:val="ListParagraph"/>
                        <w:spacing w:before="120" w:after="480" w:line="259" w:lineRule="auto"/>
                        <w:ind w:left="0"/>
                        <w:contextualSpacing w:val="0"/>
                        <w:jc w:val="both"/>
                        <w:rPr>
                          <w:b/>
                          <w:bCs/>
                          <w:sz w:val="30"/>
                          <w:szCs w:val="30"/>
                        </w:rPr>
                      </w:pPr>
                      <w:r w:rsidRPr="00470E79">
                        <w:rPr>
                          <w:b/>
                          <w:bCs/>
                          <w:color w:val="800081"/>
                          <w:sz w:val="30"/>
                          <w:szCs w:val="30"/>
                        </w:rPr>
                        <w:t xml:space="preserve">Pre-eclampsia </w:t>
                      </w:r>
                      <w:r w:rsidRPr="00470E79">
                        <w:rPr>
                          <w:b/>
                          <w:bCs/>
                          <w:sz w:val="30"/>
                          <w:szCs w:val="30"/>
                        </w:rPr>
                        <w:t xml:space="preserve">affects 1 in 30 pregnant women in the UK. </w:t>
                      </w:r>
                      <w:r w:rsidR="00184646" w:rsidRPr="00470E79">
                        <w:rPr>
                          <w:b/>
                          <w:bCs/>
                          <w:sz w:val="30"/>
                          <w:szCs w:val="30"/>
                        </w:rPr>
                        <w:t xml:space="preserve">It </w:t>
                      </w:r>
                      <w:r w:rsidR="00184646" w:rsidRPr="00470E79">
                        <w:rPr>
                          <w:rFonts w:cs="Arial"/>
                          <w:b/>
                          <w:sz w:val="30"/>
                          <w:szCs w:val="30"/>
                          <w:lang w:val="en" w:eastAsia="en-GB"/>
                        </w:rPr>
                        <w:t>usually presents with high blood pressure and protein in the urine but may affect other organs in the body, and the baby.</w:t>
                      </w:r>
                    </w:p>
                    <w:p w:rsidR="00544913" w:rsidRPr="00470E79" w:rsidRDefault="00E578F1">
                      <w:pPr>
                        <w:pStyle w:val="ListParagraph"/>
                        <w:spacing w:before="120" w:after="480" w:line="259" w:lineRule="auto"/>
                        <w:ind w:left="0"/>
                        <w:contextualSpacing w:val="0"/>
                        <w:jc w:val="both"/>
                        <w:rPr>
                          <w:sz w:val="30"/>
                          <w:szCs w:val="30"/>
                        </w:rPr>
                      </w:pPr>
                      <w:r w:rsidRPr="00470E79">
                        <w:rPr>
                          <w:b/>
                          <w:bCs/>
                          <w:sz w:val="30"/>
                          <w:szCs w:val="30"/>
                        </w:rPr>
                        <w:t>Your care team will be able to tell you if you are at risk of developing pre-eclampsia.</w:t>
                      </w:r>
                      <w:r w:rsidRPr="00470E79">
                        <w:rPr>
                          <w:sz w:val="30"/>
                          <w:szCs w:val="30"/>
                        </w:rPr>
                        <w:t xml:space="preserve"> </w:t>
                      </w:r>
                    </w:p>
                    <w:p w:rsidR="00544913" w:rsidRPr="00470E79" w:rsidRDefault="00E578F1">
                      <w:pPr>
                        <w:pStyle w:val="ListParagraph"/>
                        <w:spacing w:before="120" w:after="480" w:line="259" w:lineRule="auto"/>
                        <w:ind w:left="0"/>
                        <w:contextualSpacing w:val="0"/>
                        <w:jc w:val="both"/>
                        <w:rPr>
                          <w:sz w:val="30"/>
                          <w:szCs w:val="30"/>
                        </w:rPr>
                      </w:pPr>
                      <w:proofErr w:type="spellStart"/>
                      <w:r w:rsidRPr="00470E79">
                        <w:rPr>
                          <w:b/>
                          <w:bCs/>
                          <w:color w:val="800081"/>
                          <w:sz w:val="30"/>
                          <w:szCs w:val="30"/>
                        </w:rPr>
                        <w:t>CaPE</w:t>
                      </w:r>
                      <w:proofErr w:type="spellEnd"/>
                      <w:r w:rsidRPr="00470E79">
                        <w:rPr>
                          <w:b/>
                          <w:bCs/>
                          <w:sz w:val="30"/>
                          <w:szCs w:val="30"/>
                        </w:rPr>
                        <w:t xml:space="preserve"> is a research study looking to find out if calcium supplements taken during pregnancy reduce the chances of developing pre-eclampsia.</w:t>
                      </w:r>
                      <w:r w:rsidRPr="00470E79">
                        <w:rPr>
                          <w:sz w:val="30"/>
                          <w:szCs w:val="30"/>
                        </w:rPr>
                        <w:t xml:space="preserve"> </w:t>
                      </w:r>
                    </w:p>
                    <w:p w:rsidR="00544913" w:rsidRPr="00470E79" w:rsidRDefault="00E578F1">
                      <w:pPr>
                        <w:pStyle w:val="ListParagraph"/>
                        <w:spacing w:before="120" w:after="120" w:line="259" w:lineRule="auto"/>
                        <w:ind w:left="0"/>
                        <w:contextualSpacing w:val="0"/>
                        <w:jc w:val="both"/>
                        <w:rPr>
                          <w:rFonts w:ascii="Calibri" w:hAnsi="Calibri" w:cs="Calibri"/>
                          <w:b/>
                          <w:bCs/>
                          <w:sz w:val="30"/>
                          <w:szCs w:val="30"/>
                          <w:lang w:val="en" w:eastAsia="en-GB"/>
                        </w:rPr>
                      </w:pPr>
                      <w:r w:rsidRPr="00470E79">
                        <w:rPr>
                          <w:b/>
                          <w:bCs/>
                          <w:sz w:val="30"/>
                          <w:szCs w:val="30"/>
                        </w:rPr>
                        <w:t xml:space="preserve">We want to recruit 7756 pregnant women at risk of pre-eclampsia from across the UK – could you be one of </w:t>
                      </w:r>
                      <w:proofErr w:type="gramStart"/>
                      <w:r w:rsidRPr="00470E79">
                        <w:rPr>
                          <w:b/>
                          <w:bCs/>
                          <w:sz w:val="30"/>
                          <w:szCs w:val="30"/>
                        </w:rPr>
                        <w:t>them</w:t>
                      </w:r>
                      <w:bookmarkStart w:id="2" w:name="_GoBack"/>
                      <w:bookmarkEnd w:id="2"/>
                      <w:r w:rsidRPr="00470E79">
                        <w:rPr>
                          <w:b/>
                          <w:bCs/>
                          <w:sz w:val="30"/>
                          <w:szCs w:val="30"/>
                        </w:rPr>
                        <w:t>?</w:t>
                      </w:r>
                      <w:proofErr w:type="gramEnd"/>
                      <w:r w:rsidRPr="00470E79">
                        <w:rPr>
                          <w:b/>
                          <w:bCs/>
                          <w:sz w:val="30"/>
                          <w:szCs w:val="30"/>
                        </w:rPr>
                        <w:t xml:space="preserve"> </w:t>
                      </w:r>
                    </w:p>
                    <w:p w:rsidR="00544913" w:rsidRDefault="00544913">
                      <w:pPr>
                        <w:jc w:val="both"/>
                        <w:rPr>
                          <w:sz w:val="32"/>
                          <w:szCs w:val="32"/>
                          <w:lang w:val="en"/>
                        </w:rPr>
                      </w:pPr>
                    </w:p>
                  </w:txbxContent>
                </v:textbox>
                <w10:anchorlock/>
              </v:rect>
            </w:pict>
          </mc:Fallback>
        </mc:AlternateContent>
      </w:r>
    </w:p>
    <w:tbl>
      <w:tblPr>
        <w:tblStyle w:val="TableGrid"/>
        <w:tblW w:w="1014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7FF"/>
        <w:tblLayout w:type="fixed"/>
        <w:tblLook w:val="04A0" w:firstRow="1" w:lastRow="0" w:firstColumn="1" w:lastColumn="0" w:noHBand="0" w:noVBand="1"/>
      </w:tblPr>
      <w:tblGrid>
        <w:gridCol w:w="10149"/>
      </w:tblGrid>
      <w:tr w:rsidR="00544913" w:rsidTr="00312972">
        <w:trPr>
          <w:trHeight w:val="1495"/>
        </w:trPr>
        <w:tc>
          <w:tcPr>
            <w:tcW w:w="10149" w:type="dxa"/>
            <w:tcBorders>
              <w:top w:val="single" w:sz="12" w:space="0" w:color="800080"/>
              <w:left w:val="single" w:sz="12" w:space="0" w:color="800080"/>
              <w:right w:val="single" w:sz="12" w:space="0" w:color="800080"/>
            </w:tcBorders>
            <w:shd w:val="clear" w:color="auto" w:fill="FAF7FF"/>
            <w:vAlign w:val="center"/>
          </w:tcPr>
          <w:p w:rsidR="00544913" w:rsidRDefault="00470E79">
            <w:pPr>
              <w:tabs>
                <w:tab w:val="left" w:pos="2700"/>
                <w:tab w:val="left" w:pos="5400"/>
              </w:tabs>
              <w:spacing w:before="240" w:after="120"/>
              <w:ind w:left="181" w:right="2790"/>
              <w:rPr>
                <w:rFonts w:cs="Calibri"/>
                <w:color w:val="C00000"/>
                <w:sz w:val="24"/>
                <w:szCs w:val="24"/>
                <w:lang w:val="en"/>
              </w:rPr>
            </w:pPr>
            <w:r w:rsidRPr="00873865">
              <w:rPr>
                <w:noProof/>
                <w:sz w:val="28"/>
                <w:szCs w:val="28"/>
              </w:rPr>
              <w:drawing>
                <wp:anchor distT="0" distB="0" distL="114300" distR="114300" simplePos="0" relativeHeight="251670528" behindDoc="0" locked="0" layoutInCell="1" allowOverlap="1" wp14:anchorId="7E0BF760" wp14:editId="2C1E256C">
                  <wp:simplePos x="0" y="0"/>
                  <wp:positionH relativeFrom="margin">
                    <wp:posOffset>4991100</wp:posOffset>
                  </wp:positionH>
                  <wp:positionV relativeFrom="paragraph">
                    <wp:posOffset>62865</wp:posOffset>
                  </wp:positionV>
                  <wp:extent cx="1148080" cy="11480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8080" cy="1148080"/>
                          </a:xfrm>
                          <a:prstGeom prst="rect">
                            <a:avLst/>
                          </a:prstGeom>
                        </pic:spPr>
                      </pic:pic>
                    </a:graphicData>
                  </a:graphic>
                  <wp14:sizeRelH relativeFrom="margin">
                    <wp14:pctWidth>0</wp14:pctWidth>
                  </wp14:sizeRelH>
                  <wp14:sizeRelV relativeFrom="margin">
                    <wp14:pctHeight>0</wp14:pctHeight>
                  </wp14:sizeRelV>
                </wp:anchor>
              </w:drawing>
            </w:r>
            <w:r w:rsidR="00E578F1">
              <w:rPr>
                <w:rFonts w:cs="Calibri"/>
                <w:b/>
                <w:bCs/>
                <w:color w:val="800080"/>
                <w:sz w:val="28"/>
                <w:szCs w:val="28"/>
                <w:lang w:val="en"/>
              </w:rPr>
              <w:t xml:space="preserve">For more information about the </w:t>
            </w:r>
            <w:proofErr w:type="spellStart"/>
            <w:r w:rsidR="00E578F1">
              <w:rPr>
                <w:rFonts w:cs="Calibri"/>
                <w:b/>
                <w:bCs/>
                <w:color w:val="800080"/>
                <w:sz w:val="28"/>
                <w:szCs w:val="28"/>
                <w:lang w:val="en"/>
              </w:rPr>
              <w:t>CaPE</w:t>
            </w:r>
            <w:proofErr w:type="spellEnd"/>
            <w:r w:rsidR="00E578F1">
              <w:rPr>
                <w:rFonts w:cs="Calibri"/>
                <w:b/>
                <w:bCs/>
                <w:color w:val="800080"/>
                <w:sz w:val="28"/>
                <w:szCs w:val="28"/>
                <w:lang w:val="en"/>
              </w:rPr>
              <w:t xml:space="preserve"> trial, scan the QR code or visit</w:t>
            </w:r>
            <w:r w:rsidR="00E578F1">
              <w:rPr>
                <w:rFonts w:cs="Calibri"/>
                <w:sz w:val="28"/>
                <w:szCs w:val="28"/>
                <w:lang w:val="en"/>
              </w:rPr>
              <w:t xml:space="preserve"> </w:t>
            </w:r>
            <w:hyperlink r:id="rId11" w:tooltip="http://www.birmingham.ac.uk/CaPE" w:history="1">
              <w:r w:rsidR="00E578F1">
                <w:rPr>
                  <w:rStyle w:val="Hyperlink"/>
                  <w:rFonts w:cs="Calibri"/>
                  <w:sz w:val="24"/>
                  <w:szCs w:val="24"/>
                  <w:lang w:val="en"/>
                </w:rPr>
                <w:t>www.birmingham.ac.uk/CaPE</w:t>
              </w:r>
            </w:hyperlink>
          </w:p>
        </w:tc>
      </w:tr>
      <w:tr w:rsidR="00544913" w:rsidTr="00312972">
        <w:trPr>
          <w:trHeight w:val="20"/>
        </w:trPr>
        <w:tc>
          <w:tcPr>
            <w:tcW w:w="10149" w:type="dxa"/>
            <w:tcBorders>
              <w:left w:val="single" w:sz="12" w:space="0" w:color="800080"/>
              <w:right w:val="single" w:sz="12" w:space="0" w:color="800080"/>
            </w:tcBorders>
            <w:shd w:val="clear" w:color="auto" w:fill="FAF7FF"/>
            <w:vAlign w:val="center"/>
          </w:tcPr>
          <w:p w:rsidR="00544913" w:rsidRPr="00617985" w:rsidRDefault="00E578F1">
            <w:pPr>
              <w:ind w:left="184"/>
              <w:contextualSpacing/>
              <w:rPr>
                <w:rFonts w:cs="Calibri"/>
                <w:b/>
                <w:bCs/>
                <w:color w:val="800080"/>
                <w:sz w:val="22"/>
                <w:szCs w:val="28"/>
                <w:lang w:val="en-US"/>
              </w:rPr>
            </w:pPr>
            <w:r w:rsidRPr="00617985">
              <w:rPr>
                <w:rFonts w:cs="Calibri"/>
                <w:b/>
                <w:bCs/>
                <w:color w:val="800080"/>
                <w:sz w:val="22"/>
                <w:szCs w:val="28"/>
                <w:lang w:val="en-US"/>
              </w:rPr>
              <w:t xml:space="preserve">If you are interested in taking part in </w:t>
            </w:r>
            <w:proofErr w:type="spellStart"/>
            <w:r w:rsidRPr="00617985">
              <w:rPr>
                <w:rFonts w:cs="Calibri"/>
                <w:b/>
                <w:bCs/>
                <w:color w:val="800080"/>
                <w:sz w:val="22"/>
                <w:szCs w:val="28"/>
                <w:lang w:val="en-US"/>
              </w:rPr>
              <w:t>CaPE</w:t>
            </w:r>
            <w:proofErr w:type="spellEnd"/>
            <w:r w:rsidRPr="00617985">
              <w:rPr>
                <w:rFonts w:cs="Calibri"/>
                <w:b/>
                <w:bCs/>
                <w:color w:val="800080"/>
                <w:sz w:val="22"/>
                <w:szCs w:val="28"/>
                <w:lang w:val="en-US"/>
              </w:rPr>
              <w:t>, talk to your midwife, doctor or the local research team:</w:t>
            </w:r>
          </w:p>
        </w:tc>
      </w:tr>
      <w:tr w:rsidR="00544913" w:rsidTr="00312972">
        <w:trPr>
          <w:trHeight w:val="737"/>
        </w:trPr>
        <w:tc>
          <w:tcPr>
            <w:tcW w:w="10149" w:type="dxa"/>
            <w:tcBorders>
              <w:left w:val="single" w:sz="12" w:space="0" w:color="800080"/>
              <w:bottom w:val="single" w:sz="12" w:space="0" w:color="800080"/>
              <w:right w:val="single" w:sz="12" w:space="0" w:color="800080"/>
            </w:tcBorders>
            <w:shd w:val="clear" w:color="auto" w:fill="FAF7FF"/>
            <w:vAlign w:val="center"/>
          </w:tcPr>
          <w:p w:rsidR="004F0EE0" w:rsidRPr="00617985" w:rsidRDefault="00E578F1" w:rsidP="004F0EE0">
            <w:pPr>
              <w:tabs>
                <w:tab w:val="left" w:pos="2700"/>
                <w:tab w:val="left" w:pos="5400"/>
              </w:tabs>
              <w:spacing w:after="120"/>
              <w:ind w:left="184"/>
              <w:rPr>
                <w:rFonts w:cs="Calibri"/>
                <w:color w:val="C00000"/>
                <w:sz w:val="22"/>
                <w:szCs w:val="24"/>
                <w:lang w:val="en"/>
              </w:rPr>
            </w:pPr>
            <w:r w:rsidRPr="00617985">
              <w:rPr>
                <w:rFonts w:cs="Calibri"/>
                <w:b/>
                <w:bCs/>
                <w:sz w:val="22"/>
                <w:szCs w:val="24"/>
                <w:lang w:val="en"/>
              </w:rPr>
              <w:t>Contact name:</w:t>
            </w:r>
            <w:r w:rsidRPr="00617985">
              <w:rPr>
                <w:rFonts w:cs="Calibri"/>
                <w:sz w:val="22"/>
                <w:szCs w:val="24"/>
                <w:lang w:val="en"/>
              </w:rPr>
              <w:t xml:space="preserve"> </w:t>
            </w:r>
            <w:r w:rsidR="004F0EE0" w:rsidRPr="00617985">
              <w:rPr>
                <w:rFonts w:cs="Calibri"/>
                <w:sz w:val="22"/>
                <w:szCs w:val="24"/>
                <w:lang w:val="en"/>
              </w:rPr>
              <w:t>Anna Campbell/Lola Okungade</w:t>
            </w:r>
            <w:r w:rsidR="00617985">
              <w:rPr>
                <w:rFonts w:cs="Calibri"/>
                <w:sz w:val="22"/>
                <w:szCs w:val="24"/>
                <w:lang w:val="en"/>
              </w:rPr>
              <w:t>/Hay</w:t>
            </w:r>
            <w:r w:rsidR="00711A52">
              <w:rPr>
                <w:rFonts w:cs="Calibri"/>
                <w:sz w:val="22"/>
                <w:szCs w:val="24"/>
                <w:lang w:val="en"/>
              </w:rPr>
              <w:t xml:space="preserve">ley Wheeler  </w:t>
            </w:r>
            <w:bookmarkStart w:id="1" w:name="_GoBack"/>
            <w:bookmarkEnd w:id="1"/>
            <w:r w:rsidRPr="00617985">
              <w:rPr>
                <w:rFonts w:cs="Calibri"/>
                <w:b/>
                <w:bCs/>
                <w:sz w:val="22"/>
                <w:szCs w:val="24"/>
                <w:lang w:val="en"/>
              </w:rPr>
              <w:t>Email</w:t>
            </w:r>
            <w:r w:rsidR="004F0EE0" w:rsidRPr="00617985">
              <w:rPr>
                <w:rFonts w:cs="Calibri"/>
                <w:b/>
                <w:bCs/>
                <w:sz w:val="22"/>
                <w:szCs w:val="24"/>
                <w:lang w:val="en"/>
              </w:rPr>
              <w:t xml:space="preserve">: </w:t>
            </w:r>
            <w:r w:rsidR="004F0EE0" w:rsidRPr="00617985">
              <w:rPr>
                <w:rFonts w:cs="Calibri"/>
                <w:bCs/>
                <w:sz w:val="22"/>
                <w:szCs w:val="24"/>
                <w:lang w:val="en"/>
              </w:rPr>
              <w:t>child.research@royalberkshire.nhs.uk</w:t>
            </w:r>
            <w:r w:rsidRPr="00617985">
              <w:rPr>
                <w:rFonts w:cs="Calibri"/>
                <w:color w:val="C00000"/>
                <w:sz w:val="22"/>
                <w:szCs w:val="24"/>
                <w:lang w:val="en"/>
              </w:rPr>
              <w:t xml:space="preserve"> </w:t>
            </w:r>
          </w:p>
          <w:p w:rsidR="00544913" w:rsidRPr="00617985" w:rsidRDefault="00E578F1" w:rsidP="004F0EE0">
            <w:pPr>
              <w:tabs>
                <w:tab w:val="left" w:pos="2700"/>
                <w:tab w:val="left" w:pos="5400"/>
              </w:tabs>
              <w:spacing w:after="120"/>
              <w:ind w:left="184"/>
              <w:jc w:val="center"/>
              <w:rPr>
                <w:rFonts w:cs="Calibri"/>
                <w:color w:val="C00000"/>
                <w:sz w:val="22"/>
                <w:szCs w:val="24"/>
                <w:lang w:val="en"/>
              </w:rPr>
            </w:pPr>
            <w:r w:rsidRPr="00617985">
              <w:rPr>
                <w:rFonts w:cs="Calibri"/>
                <w:b/>
                <w:bCs/>
                <w:sz w:val="22"/>
                <w:szCs w:val="24"/>
                <w:lang w:val="en"/>
              </w:rPr>
              <w:t>Tel:</w:t>
            </w:r>
            <w:r w:rsidRPr="00617985">
              <w:rPr>
                <w:rFonts w:cs="Calibri"/>
                <w:sz w:val="22"/>
                <w:szCs w:val="24"/>
                <w:lang w:val="en"/>
              </w:rPr>
              <w:t xml:space="preserve"> </w:t>
            </w:r>
            <w:r w:rsidR="004F0EE0" w:rsidRPr="00617985">
              <w:rPr>
                <w:rFonts w:cs="Calibri"/>
                <w:sz w:val="22"/>
                <w:szCs w:val="24"/>
                <w:lang w:val="en"/>
              </w:rPr>
              <w:t>0118 322 8652</w:t>
            </w:r>
          </w:p>
        </w:tc>
      </w:tr>
    </w:tbl>
    <w:p w:rsidR="00544913" w:rsidRDefault="00E578F1">
      <w:pPr>
        <w:tabs>
          <w:tab w:val="left" w:pos="10065"/>
        </w:tabs>
        <w:spacing w:after="0" w:line="240" w:lineRule="auto"/>
        <w:ind w:right="130"/>
        <w:rPr>
          <w:sz w:val="20"/>
          <w:szCs w:val="20"/>
        </w:rPr>
      </w:pPr>
      <w:r>
        <w:rPr>
          <w:sz w:val="20"/>
          <w:szCs w:val="20"/>
        </w:rPr>
        <w:t xml:space="preserve">This study is funded by the National Institute for Health Research (NIHR) Health Technology Assessment Programme (award number 127325) </w:t>
      </w:r>
      <w:proofErr w:type="gramStart"/>
      <w:r>
        <w:rPr>
          <w:sz w:val="20"/>
          <w:szCs w:val="20"/>
        </w:rPr>
        <w:t>The</w:t>
      </w:r>
      <w:proofErr w:type="gramEnd"/>
      <w:r>
        <w:rPr>
          <w:sz w:val="20"/>
          <w:szCs w:val="20"/>
        </w:rPr>
        <w:t xml:space="preserve"> views expressed are those of the author(s) and not necessarily those of the NHS, NIHR or the Department of Health and Social Care. This study has been designed in collaboration with Action on Pre-eclampsia Charity.</w:t>
      </w:r>
    </w:p>
    <w:sectPr w:rsidR="00544913">
      <w:headerReference w:type="even" r:id="rId12"/>
      <w:headerReference w:type="default" r:id="rId13"/>
      <w:footerReference w:type="default" r:id="rId14"/>
      <w:headerReference w:type="first" r:id="rId15"/>
      <w:pgSz w:w="11906" w:h="16838"/>
      <w:pgMar w:top="720" w:right="566" w:bottom="993" w:left="720" w:header="284" w:footer="448" w:gutter="0"/>
      <w:pgBorders w:offsetFrom="page">
        <w:top w:val="single" w:sz="4" w:space="24" w:color="800081"/>
        <w:left w:val="single" w:sz="4" w:space="24" w:color="800081"/>
        <w:bottom w:val="single" w:sz="4" w:space="24" w:color="800081"/>
        <w:right w:val="single" w:sz="4" w:space="24" w:color="80008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13" w:rsidRDefault="00E578F1">
      <w:pPr>
        <w:spacing w:after="0" w:line="240" w:lineRule="auto"/>
      </w:pPr>
      <w:r>
        <w:separator/>
      </w:r>
    </w:p>
  </w:endnote>
  <w:endnote w:type="continuationSeparator" w:id="0">
    <w:p w:rsidR="00544913" w:rsidRDefault="00E5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3402"/>
      <w:gridCol w:w="1799"/>
    </w:tblGrid>
    <w:tr w:rsidR="00544913">
      <w:tc>
        <w:tcPr>
          <w:tcW w:w="2977" w:type="dxa"/>
        </w:tcPr>
        <w:p w:rsidR="00544913" w:rsidRPr="00424F9B" w:rsidRDefault="00E578F1">
          <w:pPr>
            <w:pStyle w:val="Footer"/>
            <w:ind w:right="-34"/>
            <w:rPr>
              <w:iCs/>
            </w:rPr>
          </w:pPr>
          <w:proofErr w:type="spellStart"/>
          <w:r>
            <w:rPr>
              <w:iCs/>
            </w:rPr>
            <w:t>CaPE</w:t>
          </w:r>
          <w:proofErr w:type="spellEnd"/>
          <w:r>
            <w:rPr>
              <w:iCs/>
            </w:rPr>
            <w:t xml:space="preserve"> Poster ver</w:t>
          </w:r>
          <w:r w:rsidR="00F368F3">
            <w:rPr>
              <w:iCs/>
            </w:rPr>
            <w:t>2.0</w:t>
          </w:r>
          <w:r>
            <w:rPr>
              <w:iCs/>
            </w:rPr>
            <w:t xml:space="preserve"> </w:t>
          </w:r>
          <w:r w:rsidR="00F368F3">
            <w:rPr>
              <w:iCs/>
            </w:rPr>
            <w:t>22</w:t>
          </w:r>
          <w:r>
            <w:rPr>
              <w:iCs/>
            </w:rPr>
            <w:t xml:space="preserve"> </w:t>
          </w:r>
          <w:r w:rsidR="00D77646">
            <w:rPr>
              <w:iCs/>
            </w:rPr>
            <w:t>Dec</w:t>
          </w:r>
          <w:r>
            <w:rPr>
              <w:iCs/>
            </w:rPr>
            <w:t xml:space="preserve"> 2021     </w:t>
          </w:r>
        </w:p>
      </w:tc>
      <w:tc>
        <w:tcPr>
          <w:tcW w:w="1559" w:type="dxa"/>
        </w:tcPr>
        <w:p w:rsidR="00544913" w:rsidRDefault="00E578F1">
          <w:pPr>
            <w:pStyle w:val="Footer"/>
            <w:ind w:right="-34"/>
            <w:rPr>
              <w:rFonts w:cs="Tahoma"/>
              <w:iCs/>
            </w:rPr>
          </w:pPr>
          <w:r>
            <w:rPr>
              <w:iCs/>
            </w:rPr>
            <w:t>IRAS ID: 262719</w:t>
          </w:r>
        </w:p>
      </w:tc>
      <w:tc>
        <w:tcPr>
          <w:tcW w:w="3402" w:type="dxa"/>
        </w:tcPr>
        <w:p w:rsidR="00544913" w:rsidRDefault="00E578F1">
          <w:pPr>
            <w:pStyle w:val="Footer"/>
            <w:ind w:right="-34"/>
            <w:rPr>
              <w:iCs/>
            </w:rPr>
          </w:pPr>
          <w:r>
            <w:rPr>
              <w:iCs/>
            </w:rPr>
            <w:t xml:space="preserve">EudraCT number: </w:t>
          </w:r>
          <w:r>
            <w:rPr>
              <w:rFonts w:cs="Tahoma"/>
              <w:iCs/>
            </w:rPr>
            <w:t>2020-004435-25</w:t>
          </w:r>
          <w:r>
            <w:rPr>
              <w:iCs/>
            </w:rPr>
            <w:t xml:space="preserve">      </w:t>
          </w:r>
        </w:p>
      </w:tc>
      <w:tc>
        <w:tcPr>
          <w:tcW w:w="1799" w:type="dxa"/>
        </w:tcPr>
        <w:p w:rsidR="00544913" w:rsidRDefault="00E578F1">
          <w:pPr>
            <w:pStyle w:val="Footer"/>
            <w:ind w:right="-34"/>
            <w:rPr>
              <w:rFonts w:cs="Tahoma"/>
              <w:iCs/>
            </w:rPr>
          </w:pPr>
          <w:r>
            <w:rPr>
              <w:iCs/>
            </w:rPr>
            <w:t>ISRCTN: 12033893</w:t>
          </w:r>
        </w:p>
      </w:tc>
    </w:tr>
  </w:tbl>
  <w:p w:rsidR="00544913" w:rsidRDefault="0054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13" w:rsidRDefault="00E578F1">
      <w:pPr>
        <w:spacing w:after="0" w:line="240" w:lineRule="auto"/>
      </w:pPr>
      <w:r>
        <w:separator/>
      </w:r>
    </w:p>
  </w:footnote>
  <w:footnote w:type="continuationSeparator" w:id="0">
    <w:p w:rsidR="00544913" w:rsidRDefault="00E5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3" w:rsidRDefault="00E578F1">
    <w:pPr>
      <w:pStyle w:val="Header"/>
    </w:pPr>
    <w:r>
      <w:rPr>
        <w:noProof/>
        <w:lang w:eastAsia="en-GB"/>
      </w:rPr>
      <w:drawing>
        <wp:anchor distT="0" distB="0" distL="114300" distR="114300" simplePos="0" relativeHeight="502791168" behindDoc="1" locked="0" layoutInCell="0" allowOverlap="1">
          <wp:simplePos x="0" y="0"/>
          <wp:positionH relativeFrom="margin">
            <wp:align>center</wp:align>
          </wp:positionH>
          <wp:positionV relativeFrom="margin">
            <wp:align>center</wp:align>
          </wp:positionV>
          <wp:extent cx="10100945" cy="1010094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stretch/>
                </pic:blipFill>
                <pic:spPr bwMode="auto">
                  <a:xfrm>
                    <a:off x="0" y="0"/>
                    <a:ext cx="10100945" cy="10100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3" w:rsidRDefault="00E578F1">
    <w:pPr>
      <w:pStyle w:val="Header"/>
    </w:pPr>
    <w:r>
      <w:rPr>
        <w:noProof/>
        <w:lang w:eastAsia="en-GB"/>
      </w:rPr>
      <w:drawing>
        <wp:anchor distT="0" distB="0" distL="114300" distR="114300" simplePos="0" relativeHeight="502790144" behindDoc="1" locked="0" layoutInCell="0" allowOverlap="1">
          <wp:simplePos x="0" y="0"/>
          <wp:positionH relativeFrom="margin">
            <wp:align>center</wp:align>
          </wp:positionH>
          <wp:positionV relativeFrom="margin">
            <wp:align>center</wp:align>
          </wp:positionV>
          <wp:extent cx="10100945" cy="1010094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pic:blipFill>
                <pic:spPr bwMode="auto">
                  <a:xfrm>
                    <a:off x="0" y="0"/>
                    <a:ext cx="10100945" cy="10100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13" w:rsidRDefault="00E578F1">
    <w:pPr>
      <w:pStyle w:val="Header"/>
    </w:pPr>
    <w:r>
      <w:rPr>
        <w:noProof/>
        <w:lang w:eastAsia="en-GB"/>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10100945" cy="1010094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stretch/>
                </pic:blipFill>
                <pic:spPr bwMode="auto">
                  <a:xfrm>
                    <a:off x="0" y="0"/>
                    <a:ext cx="10100945" cy="10100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C9B"/>
    <w:multiLevelType w:val="hybridMultilevel"/>
    <w:tmpl w:val="A906E272"/>
    <w:lvl w:ilvl="0" w:tplc="C6D0CA0C">
      <w:start w:val="1"/>
      <w:numFmt w:val="decimal"/>
      <w:lvlText w:val="%1."/>
      <w:lvlJc w:val="left"/>
      <w:pPr>
        <w:ind w:left="720" w:hanging="360"/>
      </w:pPr>
    </w:lvl>
    <w:lvl w:ilvl="1" w:tplc="A2EE2CF0">
      <w:start w:val="1"/>
      <w:numFmt w:val="lowerLetter"/>
      <w:lvlText w:val="%2."/>
      <w:lvlJc w:val="left"/>
      <w:pPr>
        <w:ind w:left="1440" w:hanging="360"/>
      </w:pPr>
    </w:lvl>
    <w:lvl w:ilvl="2" w:tplc="57CEE916">
      <w:start w:val="1"/>
      <w:numFmt w:val="lowerRoman"/>
      <w:lvlText w:val="%3."/>
      <w:lvlJc w:val="right"/>
      <w:pPr>
        <w:ind w:left="2160" w:hanging="180"/>
      </w:pPr>
    </w:lvl>
    <w:lvl w:ilvl="3" w:tplc="7D7C5B8E">
      <w:start w:val="1"/>
      <w:numFmt w:val="decimal"/>
      <w:lvlText w:val="%4."/>
      <w:lvlJc w:val="left"/>
      <w:pPr>
        <w:ind w:left="2880" w:hanging="360"/>
      </w:pPr>
    </w:lvl>
    <w:lvl w:ilvl="4" w:tplc="C9AEC6C8">
      <w:start w:val="1"/>
      <w:numFmt w:val="lowerLetter"/>
      <w:lvlText w:val="%5."/>
      <w:lvlJc w:val="left"/>
      <w:pPr>
        <w:ind w:left="3600" w:hanging="360"/>
      </w:pPr>
    </w:lvl>
    <w:lvl w:ilvl="5" w:tplc="6448ACF2">
      <w:start w:val="1"/>
      <w:numFmt w:val="lowerRoman"/>
      <w:lvlText w:val="%6."/>
      <w:lvlJc w:val="right"/>
      <w:pPr>
        <w:ind w:left="4320" w:hanging="180"/>
      </w:pPr>
    </w:lvl>
    <w:lvl w:ilvl="6" w:tplc="2FFC379A">
      <w:start w:val="1"/>
      <w:numFmt w:val="decimal"/>
      <w:lvlText w:val="%7."/>
      <w:lvlJc w:val="left"/>
      <w:pPr>
        <w:ind w:left="5040" w:hanging="360"/>
      </w:pPr>
    </w:lvl>
    <w:lvl w:ilvl="7" w:tplc="9C3876BE">
      <w:start w:val="1"/>
      <w:numFmt w:val="lowerLetter"/>
      <w:lvlText w:val="%8."/>
      <w:lvlJc w:val="left"/>
      <w:pPr>
        <w:ind w:left="5760" w:hanging="360"/>
      </w:pPr>
    </w:lvl>
    <w:lvl w:ilvl="8" w:tplc="D9808982">
      <w:start w:val="1"/>
      <w:numFmt w:val="lowerRoman"/>
      <w:lvlText w:val="%9."/>
      <w:lvlJc w:val="right"/>
      <w:pPr>
        <w:ind w:left="6480" w:hanging="180"/>
      </w:pPr>
    </w:lvl>
  </w:abstractNum>
  <w:abstractNum w:abstractNumId="1" w15:restartNumberingAfterBreak="0">
    <w:nsid w:val="78EB1A1A"/>
    <w:multiLevelType w:val="hybridMultilevel"/>
    <w:tmpl w:val="3D7C372A"/>
    <w:lvl w:ilvl="0" w:tplc="C98EDBF0">
      <w:start w:val="1"/>
      <w:numFmt w:val="decimal"/>
      <w:lvlText w:val="%1."/>
      <w:lvlJc w:val="left"/>
      <w:pPr>
        <w:tabs>
          <w:tab w:val="num" w:pos="720"/>
        </w:tabs>
        <w:ind w:left="720" w:hanging="720"/>
      </w:pPr>
    </w:lvl>
    <w:lvl w:ilvl="1" w:tplc="0C7C5A08">
      <w:start w:val="1"/>
      <w:numFmt w:val="decimal"/>
      <w:lvlText w:val="%2."/>
      <w:lvlJc w:val="left"/>
      <w:pPr>
        <w:tabs>
          <w:tab w:val="num" w:pos="1440"/>
        </w:tabs>
        <w:ind w:left="1440" w:hanging="720"/>
      </w:pPr>
    </w:lvl>
    <w:lvl w:ilvl="2" w:tplc="5E403BAA">
      <w:start w:val="1"/>
      <w:numFmt w:val="decimal"/>
      <w:lvlText w:val="%3."/>
      <w:lvlJc w:val="left"/>
      <w:pPr>
        <w:tabs>
          <w:tab w:val="num" w:pos="2160"/>
        </w:tabs>
        <w:ind w:left="2160" w:hanging="720"/>
      </w:pPr>
    </w:lvl>
    <w:lvl w:ilvl="3" w:tplc="7C680D42">
      <w:start w:val="1"/>
      <w:numFmt w:val="decimal"/>
      <w:lvlText w:val="%4."/>
      <w:lvlJc w:val="left"/>
      <w:pPr>
        <w:tabs>
          <w:tab w:val="num" w:pos="2880"/>
        </w:tabs>
        <w:ind w:left="2880" w:hanging="720"/>
      </w:pPr>
    </w:lvl>
    <w:lvl w:ilvl="4" w:tplc="1D6E7004">
      <w:start w:val="1"/>
      <w:numFmt w:val="decimal"/>
      <w:lvlText w:val="%5."/>
      <w:lvlJc w:val="left"/>
      <w:pPr>
        <w:tabs>
          <w:tab w:val="num" w:pos="3600"/>
        </w:tabs>
        <w:ind w:left="3600" w:hanging="720"/>
      </w:pPr>
    </w:lvl>
    <w:lvl w:ilvl="5" w:tplc="A5D8F534">
      <w:start w:val="1"/>
      <w:numFmt w:val="decimal"/>
      <w:lvlText w:val="%6."/>
      <w:lvlJc w:val="left"/>
      <w:pPr>
        <w:tabs>
          <w:tab w:val="num" w:pos="4320"/>
        </w:tabs>
        <w:ind w:left="4320" w:hanging="720"/>
      </w:pPr>
    </w:lvl>
    <w:lvl w:ilvl="6" w:tplc="582E6D18">
      <w:start w:val="1"/>
      <w:numFmt w:val="decimal"/>
      <w:lvlText w:val="%7."/>
      <w:lvlJc w:val="left"/>
      <w:pPr>
        <w:tabs>
          <w:tab w:val="num" w:pos="5040"/>
        </w:tabs>
        <w:ind w:left="5040" w:hanging="720"/>
      </w:pPr>
    </w:lvl>
    <w:lvl w:ilvl="7" w:tplc="C9C03ED6">
      <w:start w:val="1"/>
      <w:numFmt w:val="decimal"/>
      <w:lvlText w:val="%8."/>
      <w:lvlJc w:val="left"/>
      <w:pPr>
        <w:tabs>
          <w:tab w:val="num" w:pos="5760"/>
        </w:tabs>
        <w:ind w:left="5760" w:hanging="720"/>
      </w:pPr>
    </w:lvl>
    <w:lvl w:ilvl="8" w:tplc="F398B4D6">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13"/>
    <w:rsid w:val="000A01E4"/>
    <w:rsid w:val="000B62F2"/>
    <w:rsid w:val="00184646"/>
    <w:rsid w:val="00312972"/>
    <w:rsid w:val="00424F9B"/>
    <w:rsid w:val="00470E79"/>
    <w:rsid w:val="004F0EE0"/>
    <w:rsid w:val="00544913"/>
    <w:rsid w:val="00617985"/>
    <w:rsid w:val="00711A52"/>
    <w:rsid w:val="00B02EC4"/>
    <w:rsid w:val="00D77646"/>
    <w:rsid w:val="00E578F1"/>
    <w:rsid w:val="00F3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9551A9"/>
  <w15:docId w15:val="{715190FB-B782-4D17-BD88-3D26496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TW"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pBdr>
        <w:top w:val="single" w:sz="6" w:space="5" w:color="auto"/>
        <w:bottom w:val="single" w:sz="6" w:space="5" w:color="auto"/>
      </w:pBdr>
      <w:spacing w:before="240" w:after="60" w:line="240" w:lineRule="auto"/>
      <w:jc w:val="center"/>
      <w:outlineLvl w:val="0"/>
    </w:pPr>
    <w:rPr>
      <w:rFonts w:eastAsia="Times New Roman" w:cs="Tahoma"/>
      <w:b/>
      <w:bCs/>
      <w:color w:val="7030A0"/>
      <w:sz w:val="40"/>
      <w:szCs w:val="28"/>
      <w:lang w:eastAsia="en-US"/>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qFormat/>
    <w:pPr>
      <w:keepNext/>
      <w:keepLines/>
      <w:widowControl w:val="0"/>
      <w:spacing w:after="0" w:line="240" w:lineRule="auto"/>
      <w:outlineLvl w:val="2"/>
    </w:pPr>
    <w:rPr>
      <w:rFonts w:ascii="Arial Black" w:eastAsia="SimHei" w:hAnsi="Arial Black" w:cs="Times New Roman"/>
      <w:color w:val="FFFFFF"/>
      <w:sz w:val="52"/>
      <w:szCs w:val="24"/>
      <w:lang w:val="en-US" w:eastAsia="en-US"/>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link w:val="Heading1"/>
    <w:rPr>
      <w:rFonts w:eastAsia="Times New Roman" w:cs="Tahoma"/>
      <w:b/>
      <w:bCs/>
      <w:color w:val="7030A0"/>
      <w:sz w:val="40"/>
      <w:szCs w:val="28"/>
      <w:lang w:eastAsia="en-US"/>
    </w:rPr>
  </w:style>
  <w:style w:type="paragraph" w:customStyle="1" w:styleId="Heading1intable">
    <w:name w:val="Heading 1 in table"/>
    <w:basedOn w:val="Heading1"/>
    <w:qFormat/>
    <w:pPr>
      <w:pBdr>
        <w:top w:val="none" w:sz="0" w:space="0" w:color="auto"/>
        <w:bottom w:val="none" w:sz="0" w:space="0" w:color="auto"/>
      </w:pBdr>
      <w:jc w:val="left"/>
    </w:pPr>
    <w:rPr>
      <w:sz w:val="28"/>
      <w:szCs w:val="24"/>
    </w:rPr>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Pr>
      <w:rFonts w:ascii="Arial Black" w:eastAsia="SimHei" w:hAnsi="Arial Black" w:cs="Times New Roman"/>
      <w:color w:val="FFFFFF"/>
      <w:sz w:val="52"/>
      <w:szCs w:val="24"/>
      <w:lang w:val="en-US" w:eastAsia="en-US"/>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99"/>
    <w:qFormat/>
    <w:pPr>
      <w:spacing w:before="60" w:after="60" w:line="240" w:lineRule="auto"/>
      <w:ind w:left="720"/>
      <w:contextualSpacing/>
    </w:pPr>
    <w:rPr>
      <w:rFonts w:ascii="Arial" w:eastAsia="Times New Roman" w:hAnsi="Arial" w:cs="Times New Roman"/>
      <w:sz w:val="20"/>
      <w:szCs w:val="20"/>
      <w:lang w:eastAsia="en-US"/>
    </w:rPr>
  </w:style>
  <w:style w:type="character" w:customStyle="1" w:styleId="ListParagraphChar">
    <w:name w:val="List Paragraph Char"/>
    <w:link w:val="ListParagraph"/>
    <w:uiPriority w:val="99"/>
    <w:rPr>
      <w:rFonts w:ascii="Arial" w:eastAsia="Times New Roman" w:hAnsi="Arial" w:cs="Times New Roman"/>
      <w:sz w:val="20"/>
      <w:szCs w:val="20"/>
      <w:lang w:eastAsia="en-US"/>
    </w:rPr>
  </w:style>
  <w:style w:type="paragraph" w:styleId="BalloonText">
    <w:name w:val="Balloon Text"/>
    <w:basedOn w:val="Normal"/>
    <w:link w:val="BalloonTextChar"/>
    <w:uiPriority w:val="99"/>
    <w:semiHidden/>
    <w:unhideWhenUsed/>
    <w:rsid w:val="000B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F2"/>
    <w:rPr>
      <w:rFonts w:ascii="Tahoma" w:hAnsi="Tahoma" w:cs="Tahoma"/>
      <w:sz w:val="16"/>
      <w:szCs w:val="16"/>
    </w:rPr>
  </w:style>
  <w:style w:type="character" w:styleId="FollowedHyperlink">
    <w:name w:val="FollowedHyperlink"/>
    <w:basedOn w:val="DefaultParagraphFont"/>
    <w:uiPriority w:val="99"/>
    <w:semiHidden/>
    <w:unhideWhenUsed/>
    <w:rsid w:val="00470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mingham.ac.uk/CaP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Hayley Wheeler</cp:lastModifiedBy>
  <cp:revision>6</cp:revision>
  <dcterms:created xsi:type="dcterms:W3CDTF">2023-05-24T14:30:00Z</dcterms:created>
  <dcterms:modified xsi:type="dcterms:W3CDTF">2024-04-15T07:20:00Z</dcterms:modified>
</cp:coreProperties>
</file>